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A4" w:rsidRDefault="00107BA4">
      <w:pPr>
        <w:rPr>
          <w:sz w:val="22"/>
          <w:szCs w:val="22"/>
        </w:rPr>
      </w:pPr>
    </w:p>
    <w:p w:rsidR="00107BA4" w:rsidRDefault="00107BA4">
      <w:pPr>
        <w:rPr>
          <w:sz w:val="22"/>
          <w:szCs w:val="22"/>
        </w:rPr>
      </w:pPr>
    </w:p>
    <w:p w:rsidR="00107BA4" w:rsidRDefault="00107BA4">
      <w:r w:rsidRPr="00107BA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9pt;width:81pt;height:63pt;z-index:251659264;visibility:visible;mso-wrap-distance-left:0;mso-wrap-distance-right:0;mso-position-vertical-relative:line" strokeweight=".8pt">
            <v:stroke joinstyle="round"/>
            <v:textbox>
              <w:txbxContent>
                <w:p w:rsidR="00107BA4" w:rsidRDefault="00447285">
                  <w:r>
                    <w:rPr>
                      <w:noProof/>
                      <w:lang w:val="bg-BG"/>
                    </w:rPr>
                    <w:drawing>
                      <wp:inline distT="0" distB="0" distL="0" distR="0">
                        <wp:extent cx="810159" cy="640582"/>
                        <wp:effectExtent l="0" t="0" r="0" b="0"/>
                        <wp:docPr id="1073741826" name="officeArt object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3741826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0159" cy="6405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07BA4" w:rsidRDefault="00447285">
      <w:pPr>
        <w:pStyle w:val="a4"/>
        <w:ind w:left="1440" w:firstLine="720"/>
        <w:rPr>
          <w:rFonts w:ascii="Tahoma" w:eastAsia="Tahoma" w:hAnsi="Tahoma" w:cs="Tahoma"/>
          <w:b w:val="0"/>
          <w:bCs w:val="0"/>
          <w:sz w:val="20"/>
          <w:szCs w:val="20"/>
          <w:lang w:val="ru-RU"/>
        </w:rPr>
      </w:pPr>
      <w:r>
        <w:rPr>
          <w:rFonts w:ascii="Tahoma" w:hAnsi="Tahoma"/>
          <w:b w:val="0"/>
          <w:bCs w:val="0"/>
          <w:sz w:val="20"/>
          <w:szCs w:val="20"/>
          <w:lang w:val="ru-RU"/>
        </w:rPr>
        <w:t>СРЕДНО  УЧИЛИЩЕ</w:t>
      </w:r>
    </w:p>
    <w:p w:rsidR="00107BA4" w:rsidRDefault="00447285">
      <w:pPr>
        <w:pStyle w:val="a4"/>
        <w:ind w:left="1440" w:firstLine="720"/>
        <w:rPr>
          <w:rFonts w:ascii="Tahoma" w:eastAsia="Tahoma" w:hAnsi="Tahoma" w:cs="Tahoma"/>
          <w:b w:val="0"/>
          <w:bCs w:val="0"/>
          <w:sz w:val="20"/>
          <w:szCs w:val="20"/>
          <w:lang w:val="ru-RU"/>
        </w:rPr>
      </w:pPr>
      <w:r>
        <w:rPr>
          <w:rFonts w:ascii="Tahoma" w:hAnsi="Tahoma"/>
          <w:b w:val="0"/>
          <w:bCs w:val="0"/>
          <w:sz w:val="20"/>
          <w:szCs w:val="20"/>
          <w:lang w:val="ru-RU"/>
        </w:rPr>
        <w:t>“СВЕТИ КЛИМЕНТ ОХРИДСКИ“</w:t>
      </w:r>
    </w:p>
    <w:p w:rsidR="00107BA4" w:rsidRDefault="00447285">
      <w:pPr>
        <w:pStyle w:val="a4"/>
        <w:ind w:left="1440" w:firstLine="720"/>
        <w:rPr>
          <w:rFonts w:ascii="Tahoma" w:eastAsia="Tahoma" w:hAnsi="Tahoma" w:cs="Tahoma"/>
          <w:b w:val="0"/>
          <w:bCs w:val="0"/>
          <w:sz w:val="20"/>
          <w:szCs w:val="20"/>
          <w:lang w:val="ru-RU"/>
        </w:rPr>
      </w:pPr>
      <w:r>
        <w:rPr>
          <w:rFonts w:ascii="Tahoma" w:hAnsi="Tahoma"/>
          <w:b w:val="0"/>
          <w:bCs w:val="0"/>
          <w:sz w:val="20"/>
          <w:szCs w:val="20"/>
          <w:lang w:val="ru-RU"/>
        </w:rPr>
        <w:t>ГР</w:t>
      </w:r>
      <w:r>
        <w:rPr>
          <w:rFonts w:ascii="Tahoma" w:hAnsi="Tahoma"/>
          <w:b w:val="0"/>
          <w:bCs w:val="0"/>
          <w:sz w:val="20"/>
          <w:szCs w:val="20"/>
          <w:lang w:val="ru-RU"/>
        </w:rPr>
        <w:t xml:space="preserve">. </w:t>
      </w:r>
      <w:r>
        <w:rPr>
          <w:rFonts w:ascii="Tahoma" w:hAnsi="Tahoma"/>
          <w:b w:val="0"/>
          <w:bCs w:val="0"/>
          <w:sz w:val="20"/>
          <w:szCs w:val="20"/>
          <w:lang w:val="ru-RU"/>
        </w:rPr>
        <w:t>СИМЕОНОВГРАД</w:t>
      </w:r>
      <w:r>
        <w:rPr>
          <w:rFonts w:ascii="Tahoma" w:hAnsi="Tahoma"/>
          <w:b w:val="0"/>
          <w:bCs w:val="0"/>
          <w:sz w:val="20"/>
          <w:szCs w:val="20"/>
          <w:lang w:val="ru-RU"/>
        </w:rPr>
        <w:t xml:space="preserve">, </w:t>
      </w:r>
      <w:r>
        <w:rPr>
          <w:rFonts w:ascii="Tahoma" w:hAnsi="Tahoma"/>
          <w:b w:val="0"/>
          <w:bCs w:val="0"/>
          <w:sz w:val="20"/>
          <w:szCs w:val="20"/>
          <w:lang w:val="ru-RU"/>
        </w:rPr>
        <w:t>УЛ</w:t>
      </w:r>
      <w:r>
        <w:rPr>
          <w:rFonts w:ascii="Tahoma" w:hAnsi="Tahoma"/>
          <w:b w:val="0"/>
          <w:bCs w:val="0"/>
          <w:sz w:val="20"/>
          <w:szCs w:val="20"/>
          <w:lang w:val="ru-RU"/>
        </w:rPr>
        <w:t xml:space="preserve">. </w:t>
      </w:r>
      <w:r>
        <w:rPr>
          <w:rFonts w:ascii="Tahoma" w:hAnsi="Tahoma"/>
          <w:b w:val="0"/>
          <w:bCs w:val="0"/>
          <w:sz w:val="20"/>
          <w:szCs w:val="20"/>
          <w:lang w:val="ru-RU"/>
        </w:rPr>
        <w:t>“ХРИСТО БОТЕВ” №</w:t>
      </w:r>
      <w:r>
        <w:rPr>
          <w:rFonts w:ascii="Tahoma" w:hAnsi="Tahoma"/>
          <w:b w:val="0"/>
          <w:bCs w:val="0"/>
          <w:sz w:val="20"/>
          <w:szCs w:val="20"/>
          <w:lang w:val="ru-RU"/>
        </w:rPr>
        <w:t>37</w:t>
      </w:r>
    </w:p>
    <w:p w:rsidR="00107BA4" w:rsidRDefault="00447285">
      <w:pPr>
        <w:pStyle w:val="a4"/>
        <w:ind w:left="1440" w:firstLine="720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  <w:lang w:val="ru-RU"/>
        </w:rPr>
        <w:t xml:space="preserve">тел.: Директор 03781/2041; </w:t>
      </w:r>
      <w:r>
        <w:rPr>
          <w:b w:val="0"/>
          <w:bCs w:val="0"/>
          <w:i/>
          <w:iCs/>
          <w:sz w:val="20"/>
          <w:szCs w:val="20"/>
          <w:lang w:val="de-DE"/>
        </w:rPr>
        <w:t>e-ma</w:t>
      </w:r>
      <w:r>
        <w:rPr>
          <w:b w:val="0"/>
          <w:bCs w:val="0"/>
          <w:i/>
          <w:iCs/>
          <w:sz w:val="20"/>
          <w:szCs w:val="20"/>
          <w:lang w:val="en-US"/>
        </w:rPr>
        <w:t>il: info-2604004@edu.mon.bg</w:t>
      </w:r>
    </w:p>
    <w:p w:rsidR="00107BA4" w:rsidRDefault="00107BA4">
      <w:pPr>
        <w:rPr>
          <w:sz w:val="24"/>
          <w:szCs w:val="24"/>
        </w:rPr>
      </w:pPr>
    </w:p>
    <w:p w:rsidR="00107BA4" w:rsidRDefault="00107BA4">
      <w:pPr>
        <w:rPr>
          <w:sz w:val="24"/>
          <w:szCs w:val="24"/>
        </w:rPr>
      </w:pPr>
    </w:p>
    <w:p w:rsidR="00107BA4" w:rsidRDefault="00447285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УТВЪРДИЛ:</w:t>
      </w:r>
    </w:p>
    <w:p w:rsidR="00107BA4" w:rsidRDefault="00447285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ДИРЕКТОР:________________</w:t>
      </w:r>
    </w:p>
    <w:p w:rsidR="00107BA4" w:rsidRDefault="00447285">
      <w:pPr>
        <w:ind w:left="5760" w:firstLine="720"/>
        <w:rPr>
          <w:sz w:val="24"/>
          <w:szCs w:val="24"/>
        </w:rPr>
      </w:pPr>
      <w:r>
        <w:rPr>
          <w:sz w:val="24"/>
          <w:szCs w:val="24"/>
        </w:rPr>
        <w:t xml:space="preserve">      /Теодоринка Иванова/</w:t>
      </w:r>
    </w:p>
    <w:p w:rsidR="00107BA4" w:rsidRDefault="00107BA4">
      <w:pPr>
        <w:ind w:left="5760" w:firstLine="720"/>
        <w:rPr>
          <w:sz w:val="24"/>
          <w:szCs w:val="24"/>
        </w:rPr>
      </w:pPr>
    </w:p>
    <w:p w:rsidR="00107BA4" w:rsidRDefault="0044728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ПРОГРАМА</w:t>
      </w:r>
    </w:p>
    <w:p w:rsidR="00107BA4" w:rsidRDefault="004472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ЗА ПРЕДОСТАВЯНЕ НА РАВНИ ВЪЗМОЖНОСТИ И ЗА ПРИОБЩАВАНЕ НА УЧЕНИЦИТЕ ОТ УЯЗВИМИ ГРУПИ </w:t>
      </w:r>
    </w:p>
    <w:p w:rsidR="00107BA4" w:rsidRDefault="004472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СУ „СВ.КЛИМЕНТ ОХРИДСКИ”- СИМЕОНОВГРАД</w:t>
      </w:r>
    </w:p>
    <w:p w:rsidR="00107BA4" w:rsidRDefault="004472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УЧЕБНА 202</w:t>
      </w: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ГОДИНА</w:t>
      </w:r>
    </w:p>
    <w:p w:rsidR="00107BA4" w:rsidRDefault="00107BA4">
      <w:pPr>
        <w:jc w:val="center"/>
        <w:rPr>
          <w:b/>
          <w:bCs/>
          <w:sz w:val="24"/>
          <w:szCs w:val="24"/>
        </w:rPr>
      </w:pPr>
    </w:p>
    <w:p w:rsidR="00107BA4" w:rsidRDefault="004472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ВЪВЕДЕНИЕ </w:t>
      </w:r>
    </w:p>
    <w:p w:rsidR="00107BA4" w:rsidRDefault="004472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Образованието у нас и в световен мащаб днес е изправено пред сериозни предизвикателства: все </w:t>
      </w:r>
      <w:r>
        <w:rPr>
          <w:sz w:val="24"/>
          <w:szCs w:val="24"/>
          <w:lang w:val="ru-RU"/>
        </w:rPr>
        <w:t xml:space="preserve">по-често се сблъскваме с представители на различни култури, различни от нашите ценности и норми, традиции и гледни точки. Глобализацията създаде условия хората да пътуват, да живеят на различни места по света, да учат в интернационална среда. </w:t>
      </w:r>
      <w:r>
        <w:rPr>
          <w:sz w:val="24"/>
          <w:szCs w:val="24"/>
        </w:rPr>
        <w:t>Това</w:t>
      </w:r>
      <w:r>
        <w:rPr>
          <w:sz w:val="24"/>
          <w:szCs w:val="24"/>
          <w:lang w:val="ru-RU"/>
        </w:rPr>
        <w:t xml:space="preserve"> налага и</w:t>
      </w:r>
      <w:r>
        <w:rPr>
          <w:sz w:val="24"/>
          <w:szCs w:val="24"/>
          <w:lang w:val="ru-RU"/>
        </w:rPr>
        <w:t>зграждането на един нов комплекс от умения за общуване и познания за другите; за възможните точки на различие и начините за тяхното преодоляване; за толерантност към другите – и понякога към самите себе си. Често явление е педагогическите специалисти в бъл</w:t>
      </w:r>
      <w:r>
        <w:rPr>
          <w:sz w:val="24"/>
          <w:szCs w:val="24"/>
          <w:lang w:val="ru-RU"/>
        </w:rPr>
        <w:t>гарското училище да изпълняват своята мисия в групи и паралелки с деца и ученици</w:t>
      </w:r>
      <w:r>
        <w:rPr>
          <w:sz w:val="24"/>
          <w:szCs w:val="24"/>
        </w:rPr>
        <w:t xml:space="preserve"> от уязвими групи.</w:t>
      </w:r>
    </w:p>
    <w:p w:rsidR="00107BA4" w:rsidRDefault="004472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>
        <w:rPr>
          <w:sz w:val="24"/>
          <w:szCs w:val="24"/>
          <w:lang w:val="ru-RU"/>
        </w:rPr>
        <w:t xml:space="preserve">ова води до необходимостта от приобщаване на различните, на уязвимите, на </w:t>
      </w:r>
      <w:r>
        <w:rPr>
          <w:sz w:val="24"/>
          <w:szCs w:val="24"/>
        </w:rPr>
        <w:t>„</w:t>
      </w:r>
      <w:r>
        <w:rPr>
          <w:sz w:val="24"/>
          <w:szCs w:val="24"/>
          <w:lang w:val="ru-RU"/>
        </w:rPr>
        <w:t>изключените</w:t>
      </w:r>
      <w:r>
        <w:rPr>
          <w:sz w:val="24"/>
          <w:szCs w:val="24"/>
        </w:rPr>
        <w:t>“</w:t>
      </w:r>
      <w:r>
        <w:rPr>
          <w:sz w:val="24"/>
          <w:szCs w:val="24"/>
          <w:lang w:val="ru-RU"/>
        </w:rPr>
        <w:t xml:space="preserve"> от обществото. Именно образованието се явява механизмът, чрез който </w:t>
      </w:r>
      <w:r>
        <w:rPr>
          <w:sz w:val="24"/>
          <w:szCs w:val="24"/>
          <w:lang w:val="ru-RU"/>
        </w:rPr>
        <w:t>те ефективно могат да бъдат включени, така че да намерят работа, да преодолеят икономическите бариери, които създават бедността и нищетата, да преодолеят културните различия и конфликти и да станат равноправни участници в обществото. По отношение на приобщ</w:t>
      </w:r>
      <w:r>
        <w:rPr>
          <w:sz w:val="24"/>
          <w:szCs w:val="24"/>
          <w:lang w:val="ru-RU"/>
        </w:rPr>
        <w:t>аването изводите, които идват от образователната практика, говорят за това, че то започва с признаването на различията между децата и учениците. Учителят е този, който трябва много добре да познава всички възможни различия, с които ще се сблъска в своята п</w:t>
      </w:r>
      <w:r>
        <w:rPr>
          <w:sz w:val="24"/>
          <w:szCs w:val="24"/>
          <w:lang w:val="ru-RU"/>
        </w:rPr>
        <w:t>рактика, за да може да ги управлява по възможно най-безболезнения и безконфликтен начин, когато работи с децата или учениците, техните родители, обществото.</w:t>
      </w:r>
    </w:p>
    <w:p w:rsidR="00107BA4" w:rsidRDefault="004472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СУ «Св.Климент Охридски» </w:t>
      </w:r>
      <w:r>
        <w:rPr>
          <w:sz w:val="24"/>
          <w:szCs w:val="24"/>
        </w:rPr>
        <w:t>- Симеоновград</w:t>
      </w:r>
      <w:r>
        <w:rPr>
          <w:sz w:val="24"/>
          <w:szCs w:val="24"/>
          <w:lang w:val="ru-RU"/>
        </w:rPr>
        <w:t xml:space="preserve"> е институция, която спазва препоръките на Съвета на Европа</w:t>
      </w:r>
      <w:r>
        <w:rPr>
          <w:sz w:val="24"/>
          <w:szCs w:val="24"/>
          <w:lang w:val="ru-RU"/>
        </w:rPr>
        <w:t xml:space="preserve">, отправени към всички организации да работят активно в областта на интегрирането на хора с увреждания и уязвими групи. В нашето училище се създават условия за достъпна качествена грижа за учениците, така че техните родители да могат да търсят възможности </w:t>
      </w:r>
      <w:r>
        <w:rPr>
          <w:sz w:val="24"/>
          <w:szCs w:val="24"/>
          <w:lang w:val="ru-RU"/>
        </w:rPr>
        <w:t xml:space="preserve">за образование и професионална реализация. При децата в училищна възраст се обръща особено внимание, както на семейството като </w:t>
      </w:r>
      <w:r>
        <w:rPr>
          <w:sz w:val="24"/>
          <w:szCs w:val="24"/>
        </w:rPr>
        <w:t>важен фактор за развитието на подрастващите</w:t>
      </w:r>
      <w:r>
        <w:rPr>
          <w:sz w:val="24"/>
          <w:szCs w:val="24"/>
          <w:lang w:val="ru-RU"/>
        </w:rPr>
        <w:t>, така и на индивидуалните особености на всяко дете. Различията между учениците в зави</w:t>
      </w:r>
      <w:r>
        <w:rPr>
          <w:sz w:val="24"/>
          <w:szCs w:val="24"/>
          <w:lang w:val="ru-RU"/>
        </w:rPr>
        <w:t>симост от техните интереси, познания, умения, минало, майчин език, постижения или увреждане, могат да бъдат ресурси в подкрепа на ученето.</w:t>
      </w:r>
    </w:p>
    <w:p w:rsidR="00107BA4" w:rsidRDefault="004472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  <w:lang w:val="ru-RU"/>
        </w:rPr>
        <w:t>&amp;1</w:t>
      </w:r>
      <w:r>
        <w:rPr>
          <w:sz w:val="24"/>
          <w:szCs w:val="24"/>
        </w:rPr>
        <w:t xml:space="preserve"> т. 3 на Наредбата за финансирането на институциите в системата на предучилищното и училищно образование е дадено</w:t>
      </w:r>
      <w:r>
        <w:rPr>
          <w:sz w:val="24"/>
          <w:szCs w:val="24"/>
        </w:rPr>
        <w:t xml:space="preserve"> следното определение за деца и ученици от </w:t>
      </w:r>
      <w:r>
        <w:rPr>
          <w:sz w:val="24"/>
          <w:szCs w:val="24"/>
        </w:rPr>
        <w:lastRenderedPageBreak/>
        <w:t>уязвими групи: „Деца и ученици в основната степен на образование, застрашени от отпадане от системата на предучилищното и училищното образование или чийто достъп до образование е поставен в повишен риск, поради ни</w:t>
      </w:r>
      <w:r>
        <w:rPr>
          <w:sz w:val="24"/>
          <w:szCs w:val="24"/>
        </w:rPr>
        <w:t>ското образователно ниво на родителите/настойниците им и свързаните с това неблагоприятна позиция на пазара на труда и риск от социално изключване“. През 2019 г. СУ ”Св.Климент Охридски” е включено в списъка на училищата, утвърден от министъра на образован</w:t>
      </w:r>
      <w:r>
        <w:rPr>
          <w:sz w:val="24"/>
          <w:szCs w:val="24"/>
        </w:rPr>
        <w:t>ието и науката за разпределението на средства от държавния бюджет за работа с деца и ученици от уязвими групи. Предоставената сума за финансовата 20</w:t>
      </w:r>
      <w:r>
        <w:rPr>
          <w:sz w:val="24"/>
          <w:szCs w:val="24"/>
        </w:rPr>
        <w:t>23</w:t>
      </w:r>
      <w:r>
        <w:rPr>
          <w:sz w:val="24"/>
          <w:szCs w:val="24"/>
        </w:rPr>
        <w:t xml:space="preserve"> г. е в размер на </w:t>
      </w:r>
      <w:r>
        <w:rPr>
          <w:color w:val="FF0000"/>
          <w:sz w:val="24"/>
          <w:szCs w:val="24"/>
          <w:u w:color="FF0000"/>
        </w:rPr>
        <w:t>……………………….</w:t>
      </w:r>
      <w:r>
        <w:rPr>
          <w:sz w:val="24"/>
          <w:szCs w:val="24"/>
        </w:rPr>
        <w:t>лв.</w:t>
      </w:r>
    </w:p>
    <w:p w:rsidR="00107BA4" w:rsidRDefault="00107BA4">
      <w:pPr>
        <w:jc w:val="both"/>
        <w:rPr>
          <w:sz w:val="24"/>
          <w:szCs w:val="24"/>
          <w:lang w:val="ru-RU"/>
        </w:rPr>
      </w:pPr>
    </w:p>
    <w:p w:rsidR="00107BA4" w:rsidRDefault="00447285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В СУ «Св.Климент Охридски» - Симеоновград уязвими групи са:</w:t>
      </w:r>
    </w:p>
    <w:p w:rsidR="00107BA4" w:rsidRDefault="00447285">
      <w:pPr>
        <w:numPr>
          <w:ilvl w:val="0"/>
          <w:numId w:val="2"/>
        </w:numPr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 xml:space="preserve">По социален </w:t>
      </w:r>
      <w:r>
        <w:rPr>
          <w:b/>
          <w:bCs/>
          <w:i/>
          <w:iCs/>
          <w:sz w:val="24"/>
          <w:szCs w:val="24"/>
          <w:lang w:val="ru-RU"/>
        </w:rPr>
        <w:t>признак:</w:t>
      </w:r>
    </w:p>
    <w:p w:rsidR="00107BA4" w:rsidRDefault="00447285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Ученици с починали родители;</w:t>
      </w:r>
    </w:p>
    <w:p w:rsidR="00107BA4" w:rsidRDefault="00447285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Ученици с един починал родител;</w:t>
      </w:r>
    </w:p>
    <w:p w:rsidR="00107BA4" w:rsidRDefault="00447285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Ученици, отглеждани от близки роднини и настойници;</w:t>
      </w:r>
    </w:p>
    <w:p w:rsidR="00107BA4" w:rsidRDefault="00447285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Ученици от социално-слаби семейства;</w:t>
      </w:r>
    </w:p>
    <w:p w:rsidR="00107BA4" w:rsidRDefault="00447285">
      <w:pPr>
        <w:numPr>
          <w:ilvl w:val="0"/>
          <w:numId w:val="5"/>
        </w:numPr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>По признак здравни и възрастови проблеми</w:t>
      </w:r>
    </w:p>
    <w:p w:rsidR="00107BA4" w:rsidRDefault="00447285">
      <w:pPr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Ученици с хронични заболявания;</w:t>
      </w:r>
    </w:p>
    <w:p w:rsidR="00107BA4" w:rsidRDefault="00447285">
      <w:pPr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Ученици с проблемен пубе</w:t>
      </w:r>
      <w:r>
        <w:rPr>
          <w:sz w:val="24"/>
          <w:szCs w:val="24"/>
          <w:lang w:val="ru-RU"/>
        </w:rPr>
        <w:t>ртет;</w:t>
      </w:r>
    </w:p>
    <w:p w:rsidR="00107BA4" w:rsidRDefault="00447285">
      <w:pPr>
        <w:numPr>
          <w:ilvl w:val="0"/>
          <w:numId w:val="8"/>
        </w:numPr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>По етнически признак</w:t>
      </w:r>
    </w:p>
    <w:p w:rsidR="00107BA4" w:rsidRDefault="00447285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Ученици от ромска и турска етническа общност, които не владеят българския език на ниво - достатъчно, за да се справят с учебните си задачи;</w:t>
      </w:r>
    </w:p>
    <w:p w:rsidR="00107BA4" w:rsidRDefault="00447285">
      <w:pPr>
        <w:numPr>
          <w:ilvl w:val="0"/>
          <w:numId w:val="9"/>
        </w:numPr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>Психологически фактори</w:t>
      </w:r>
    </w:p>
    <w:p w:rsidR="00107BA4" w:rsidRDefault="00447285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Ученици в риск от насилие или тормоз.</w:t>
      </w:r>
    </w:p>
    <w:p w:rsidR="00107BA4" w:rsidRDefault="00107BA4">
      <w:pPr>
        <w:jc w:val="both"/>
        <w:rPr>
          <w:sz w:val="24"/>
          <w:szCs w:val="24"/>
          <w:lang w:val="ru-RU"/>
        </w:rPr>
      </w:pPr>
    </w:p>
    <w:p w:rsidR="00107BA4" w:rsidRDefault="0044728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Уязвимите групи ученици има</w:t>
      </w:r>
      <w:r>
        <w:rPr>
          <w:sz w:val="24"/>
          <w:szCs w:val="24"/>
          <w:lang w:val="ru-RU"/>
        </w:rPr>
        <w:t xml:space="preserve">т право на зачитане, уважение и закрила от закона. Отношението ни към тях е основано на признаване на тяхната равнопоставеност и равни възможности. За нас те са важна и пълноценна част от училищното общество и затова работим за тяхната социална интеграция </w:t>
      </w:r>
      <w:r>
        <w:rPr>
          <w:sz w:val="24"/>
          <w:szCs w:val="24"/>
          <w:lang w:val="ru-RU"/>
        </w:rPr>
        <w:t>и социално включване.</w:t>
      </w:r>
    </w:p>
    <w:p w:rsidR="00107BA4" w:rsidRDefault="0044728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Ние възприемаме уязвимите групи от ученици като хора със способности и потенциал, а не като хора единствено с проблеми и ограничения. </w:t>
      </w:r>
    </w:p>
    <w:p w:rsidR="00107BA4" w:rsidRDefault="0044728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Равните възможности означават да се отстранят всички социални бариери – физически, финансови, социа</w:t>
      </w:r>
      <w:r>
        <w:rPr>
          <w:sz w:val="24"/>
          <w:szCs w:val="24"/>
          <w:lang w:val="ru-RU"/>
        </w:rPr>
        <w:t>лни, психологически, които ограничават пълноценното участие на учениците от уязвимите групи в училищния живот. Това, което училището може да направи за гарантирането на техните права е осигуряването на достъп до образователни услуги, които са достъпни и за</w:t>
      </w:r>
      <w:r>
        <w:rPr>
          <w:sz w:val="24"/>
          <w:szCs w:val="24"/>
          <w:lang w:val="ru-RU"/>
        </w:rPr>
        <w:t xml:space="preserve"> всички останали граждани, както и да провежда социална политика и политика на приобщаване. </w:t>
      </w:r>
    </w:p>
    <w:p w:rsidR="00107BA4" w:rsidRDefault="00107BA4">
      <w:pPr>
        <w:pStyle w:val="a5"/>
        <w:ind w:left="0"/>
        <w:jc w:val="both"/>
        <w:rPr>
          <w:b/>
          <w:bCs/>
          <w:sz w:val="24"/>
          <w:szCs w:val="24"/>
        </w:rPr>
      </w:pPr>
    </w:p>
    <w:p w:rsidR="00107BA4" w:rsidRDefault="004472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ОСНОВНИ ПРИНЦИПИ НА ПРОГРАМАТА ЗА ПРЕДОСТАВЯНЕ НА РАВНИ ВЪЗМОЖНОСТИ И ПРИОБЩАВАНЕ НА ДЕЦА И УЧЕНИЦИ ОТ УЯЗВИМИ ГРУПИ:</w:t>
      </w:r>
    </w:p>
    <w:p w:rsidR="00107BA4" w:rsidRDefault="00107BA4">
      <w:pPr>
        <w:ind w:firstLine="708"/>
        <w:jc w:val="both"/>
        <w:rPr>
          <w:sz w:val="24"/>
          <w:szCs w:val="24"/>
          <w:lang w:val="ru-RU"/>
        </w:rPr>
      </w:pPr>
    </w:p>
    <w:p w:rsidR="00107BA4" w:rsidRDefault="00447285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Всяко дете има право на достъп до </w:t>
      </w:r>
      <w:r>
        <w:rPr>
          <w:sz w:val="24"/>
          <w:szCs w:val="24"/>
          <w:lang w:val="ru-RU"/>
        </w:rPr>
        <w:t>образование независимо от етническия му произход, наличието на увреждане или икономическото положение на семейството му и това право е залегнало в Конвенцията на ООН за правата на детето.</w:t>
      </w:r>
    </w:p>
    <w:p w:rsidR="00107BA4" w:rsidRDefault="0044728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Процесът на приобщаване се състои в търсене на ресурсите на всяко де</w:t>
      </w:r>
      <w:r>
        <w:rPr>
          <w:sz w:val="24"/>
          <w:szCs w:val="24"/>
          <w:lang w:val="ru-RU"/>
        </w:rPr>
        <w:t>те за активното му участие в училищната общност.</w:t>
      </w:r>
    </w:p>
    <w:p w:rsidR="00107BA4" w:rsidRDefault="00447285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Според Алианса за приобщаващо образование има девет водещи принципа на приобщаващото образование и те са:</w:t>
      </w:r>
    </w:p>
    <w:p w:rsidR="00107BA4" w:rsidRDefault="00447285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Човек е ценен независимо от неговите способности или от неговите постижения.</w:t>
      </w:r>
    </w:p>
    <w:p w:rsidR="00107BA4" w:rsidRDefault="00447285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Всяко човешко същество е</w:t>
      </w:r>
      <w:r>
        <w:rPr>
          <w:sz w:val="24"/>
          <w:szCs w:val="24"/>
          <w:lang w:val="ru-RU"/>
        </w:rPr>
        <w:t xml:space="preserve"> способно да чувства и да мисли.</w:t>
      </w:r>
    </w:p>
    <w:p w:rsidR="00107BA4" w:rsidRDefault="00447285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Всяко човешко същество има правото да общува и да бъде чуто.</w:t>
      </w:r>
    </w:p>
    <w:p w:rsidR="00107BA4" w:rsidRDefault="00447285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Хората се нуждаят един от друг.</w:t>
      </w:r>
    </w:p>
    <w:p w:rsidR="00107BA4" w:rsidRDefault="00447285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Истинското образование може да се случи единствено чрез истински взаимоотношения.</w:t>
      </w:r>
    </w:p>
    <w:p w:rsidR="00107BA4" w:rsidRDefault="00447285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Всички хора се нуждаят от подкрепа и приятелско </w:t>
      </w:r>
      <w:r>
        <w:rPr>
          <w:sz w:val="24"/>
          <w:szCs w:val="24"/>
          <w:lang w:val="ru-RU"/>
        </w:rPr>
        <w:t>отношение от хора на своята възраст.</w:t>
      </w:r>
    </w:p>
    <w:p w:rsidR="00107BA4" w:rsidRDefault="00447285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Прогрес в ученето се постига чрез надграждане на това, което човек може да прави, а не на това, което не може.</w:t>
      </w:r>
    </w:p>
    <w:p w:rsidR="00107BA4" w:rsidRDefault="00447285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Различията внасят здравина в отношенията в обществото.</w:t>
      </w:r>
    </w:p>
    <w:p w:rsidR="00107BA4" w:rsidRDefault="00447285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Сътрудничеството е за предпочитане пред конкуренцията</w:t>
      </w:r>
      <w:r>
        <w:rPr>
          <w:sz w:val="24"/>
          <w:szCs w:val="24"/>
          <w:lang w:val="ru-RU"/>
        </w:rPr>
        <w:t>.</w:t>
      </w:r>
    </w:p>
    <w:p w:rsidR="00107BA4" w:rsidRDefault="00107BA4">
      <w:pPr>
        <w:ind w:left="720"/>
        <w:jc w:val="both"/>
        <w:rPr>
          <w:sz w:val="24"/>
          <w:szCs w:val="24"/>
          <w:lang w:val="ru-RU"/>
        </w:rPr>
      </w:pPr>
    </w:p>
    <w:p w:rsidR="00107BA4" w:rsidRDefault="00107BA4">
      <w:pPr>
        <w:jc w:val="both"/>
        <w:rPr>
          <w:sz w:val="24"/>
          <w:szCs w:val="24"/>
          <w:lang w:val="ru-RU"/>
        </w:rPr>
      </w:pPr>
    </w:p>
    <w:p w:rsidR="00107BA4" w:rsidRDefault="00447285">
      <w:pPr>
        <w:ind w:left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ЦЕЛТА НА ТАЗИ УЧИЛИЩНА ПРОГРАМА Е:</w:t>
      </w:r>
      <w:r>
        <w:rPr>
          <w:sz w:val="24"/>
          <w:szCs w:val="24"/>
        </w:rPr>
        <w:t xml:space="preserve"> </w:t>
      </w:r>
    </w:p>
    <w:p w:rsidR="00107BA4" w:rsidRDefault="0044728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Да се набележат и изпълнят политики и мерки за предоставяне на равни възможности за образование и обучение и за приобщаване на учениците от уязвимите групи в СУ „Св. Климент Охридски” – Симеоновград.</w:t>
      </w:r>
    </w:p>
    <w:p w:rsidR="00107BA4" w:rsidRDefault="00107BA4">
      <w:pPr>
        <w:ind w:left="360"/>
        <w:jc w:val="both"/>
      </w:pPr>
    </w:p>
    <w:p w:rsidR="00107BA4" w:rsidRDefault="00107BA4">
      <w:pPr>
        <w:ind w:left="360"/>
        <w:jc w:val="both"/>
      </w:pPr>
    </w:p>
    <w:p w:rsidR="00107BA4" w:rsidRDefault="00447285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ПОДЦЕЛИ:</w:t>
      </w:r>
    </w:p>
    <w:p w:rsidR="00107BA4" w:rsidRDefault="00447285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 се</w:t>
      </w:r>
      <w:r>
        <w:rPr>
          <w:sz w:val="24"/>
          <w:szCs w:val="24"/>
        </w:rPr>
        <w:t xml:space="preserve"> реализира социална училищна политика за преодоляване на негативните социални фактори от живота на учениците от уязвимите групи.</w:t>
      </w:r>
    </w:p>
    <w:p w:rsidR="00107BA4" w:rsidRDefault="00447285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 се изгради позитивна учебна и възпитателна среда в СУ „Св. Климент Охридски”, в която се </w:t>
      </w:r>
      <w:r>
        <w:rPr>
          <w:sz w:val="24"/>
          <w:szCs w:val="24"/>
        </w:rPr>
        <w:t>осъществява пълноценна интеграция н</w:t>
      </w:r>
      <w:r>
        <w:rPr>
          <w:sz w:val="24"/>
          <w:szCs w:val="24"/>
        </w:rPr>
        <w:t>а учениците от различни етноси в класовете;</w:t>
      </w:r>
    </w:p>
    <w:p w:rsidR="00107BA4" w:rsidRDefault="00447285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 се извършва превенция на насилието и тормоза.</w:t>
      </w:r>
    </w:p>
    <w:p w:rsidR="00107BA4" w:rsidRDefault="00447285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 се реализира здравно образование на подрастващите за по-лесно преодоляване на здравни и възрастови проблеми.</w:t>
      </w:r>
    </w:p>
    <w:p w:rsidR="00107BA4" w:rsidRDefault="0044728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Да се активизира дейността на класните </w:t>
      </w:r>
      <w:r>
        <w:rPr>
          <w:sz w:val="24"/>
          <w:szCs w:val="24"/>
        </w:rPr>
        <w:t xml:space="preserve">ръководители, възпитатели и педагогическия        колектив, относно преодоляване на </w:t>
      </w:r>
      <w:r>
        <w:rPr>
          <w:sz w:val="24"/>
          <w:szCs w:val="24"/>
        </w:rPr>
        <w:t>образователните трудности и наличие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 конфликтни        отношения със съученици или учители.</w:t>
      </w:r>
    </w:p>
    <w:p w:rsidR="00107BA4" w:rsidRDefault="00447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 Да се създаде добра връзка между всички заинтересовани страни – админ</w:t>
      </w:r>
      <w:r>
        <w:rPr>
          <w:sz w:val="24"/>
          <w:szCs w:val="24"/>
        </w:rPr>
        <w:t>истративно ръководство на училището/учител/възпитател/родител/ученик/социални партньори/НПО и др. за преодоляване на проблемите на уязвимите групи ученици.</w:t>
      </w:r>
    </w:p>
    <w:p w:rsidR="00107BA4" w:rsidRDefault="00447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07BA4" w:rsidRDefault="0044728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МЕРКИ ЗА РЕЛИЗИРАНЕ НА ЦЕЛИТЕ:  </w:t>
      </w:r>
    </w:p>
    <w:p w:rsidR="00107BA4" w:rsidRDefault="00107BA4">
      <w:pPr>
        <w:jc w:val="both"/>
        <w:rPr>
          <w:b/>
          <w:bCs/>
          <w:sz w:val="24"/>
          <w:szCs w:val="24"/>
        </w:rPr>
      </w:pPr>
    </w:p>
    <w:tbl>
      <w:tblPr>
        <w:tblStyle w:val="TableNormal"/>
        <w:tblW w:w="908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75"/>
        <w:gridCol w:w="3414"/>
        <w:gridCol w:w="2500"/>
        <w:gridCol w:w="2500"/>
      </w:tblGrid>
      <w:tr w:rsidR="00107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b/>
                <w:bCs/>
                <w:sz w:val="24"/>
                <w:szCs w:val="24"/>
              </w:rPr>
              <w:t>Дейност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Отговорник </w:t>
            </w:r>
          </w:p>
        </w:tc>
      </w:tr>
      <w:tr w:rsidR="00107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 xml:space="preserve">Прием на ученици </w:t>
            </w:r>
            <w:r>
              <w:rPr>
                <w:sz w:val="24"/>
                <w:szCs w:val="24"/>
              </w:rPr>
              <w:t>независимо от социален и етнически статус и оформяне на паралелките без дискриминация по пол, раса, социален статус и етническа принадлежност.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Съгласно график на МОН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Директор, Комисия по приема</w:t>
            </w:r>
          </w:p>
        </w:tc>
      </w:tr>
      <w:tr w:rsidR="00107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shd w:val="clear" w:color="auto" w:fill="FEFEFE"/>
              <w:suppressAutoHyphens w:val="0"/>
            </w:pPr>
            <w:r>
              <w:rPr>
                <w:sz w:val="24"/>
                <w:szCs w:val="24"/>
              </w:rPr>
              <w:t>Идентифициране на ученици, които имат необходимост от обща</w:t>
            </w:r>
            <w:r>
              <w:rPr>
                <w:sz w:val="24"/>
                <w:szCs w:val="24"/>
              </w:rPr>
              <w:t xml:space="preserve"> и допълнителна подкрепа.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shd w:val="clear" w:color="auto" w:fill="FEFEFE"/>
              <w:suppressAutoHyphens w:val="0"/>
            </w:pPr>
            <w:r>
              <w:rPr>
                <w:sz w:val="24"/>
                <w:szCs w:val="24"/>
              </w:rPr>
              <w:t>В началото на всеки учебен срок и в края на учебната година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ЗДУД,Класен, ръководител, учители,училищен психолог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медиатор</w:t>
            </w:r>
          </w:p>
        </w:tc>
      </w:tr>
      <w:tr w:rsidR="00107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shd w:val="clear" w:color="auto" w:fill="FEFEFE"/>
              <w:suppressAutoHyphens w:val="0"/>
            </w:pPr>
            <w:r>
              <w:rPr>
                <w:sz w:val="24"/>
                <w:szCs w:val="24"/>
              </w:rPr>
              <w:t>Определяне на координатор за подкрепа за личностно развитие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shd w:val="clear" w:color="auto" w:fill="FEFEFE"/>
              <w:suppressAutoHyphens w:val="0"/>
            </w:pPr>
            <w:r>
              <w:rPr>
                <w:sz w:val="24"/>
                <w:szCs w:val="24"/>
              </w:rPr>
              <w:t>До 01.10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107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Отпускане на месечни стипендии (ПМС 328/21.12.2017 г., изм. и доп. с ПМС № 20/01.02.2019 г.):</w:t>
            </w:r>
          </w:p>
          <w:p w:rsidR="00107BA4" w:rsidRDefault="00447285">
            <w:pPr>
              <w:shd w:val="clear" w:color="auto" w:fill="FEFEFE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Чл. 4. (1) 1. за постигнати образователните резултати;</w:t>
            </w:r>
          </w:p>
          <w:p w:rsidR="00107BA4" w:rsidRDefault="00447285">
            <w:pPr>
              <w:shd w:val="clear" w:color="auto" w:fill="FEFEFE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Чл. 4. (1) 2. за подпомагане на достъпа до образование и предотвратяване на отпадането; </w:t>
            </w:r>
          </w:p>
          <w:p w:rsidR="00107BA4" w:rsidRDefault="00447285">
            <w:pPr>
              <w:shd w:val="clear" w:color="auto" w:fill="FEFEFE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Чл. 4. (1) 3.</w:t>
            </w:r>
            <w:r>
              <w:rPr>
                <w:rFonts w:ascii="Verdana" w:hAnsi="Verdana"/>
                <w:sz w:val="18"/>
                <w:szCs w:val="18"/>
                <w:shd w:val="clear" w:color="auto" w:fill="FEFEFE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подпомагане на ученици с трайни увреждания</w:t>
            </w:r>
          </w:p>
          <w:p w:rsidR="00107BA4" w:rsidRDefault="00447285">
            <w:pPr>
              <w:shd w:val="clear" w:color="auto" w:fill="FEFEFE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Чл. 4. (1) 4. за ученици без родители;</w:t>
            </w:r>
          </w:p>
          <w:p w:rsidR="00107BA4" w:rsidRDefault="00447285">
            <w:pPr>
              <w:shd w:val="clear" w:color="auto" w:fill="FEFEFE"/>
              <w:suppressAutoHyphens w:val="0"/>
            </w:pPr>
            <w:r>
              <w:rPr>
                <w:sz w:val="24"/>
                <w:szCs w:val="24"/>
              </w:rPr>
              <w:t>Чл. 4. (2) за ученици само с един родител.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shd w:val="clear" w:color="auto" w:fill="FEFEFE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Началото на учебната година и/или от началото на втория учебен срок</w:t>
            </w:r>
          </w:p>
          <w:p w:rsidR="00107BA4" w:rsidRDefault="00107BA4">
            <w:pPr>
              <w:shd w:val="clear" w:color="auto" w:fill="FEFEFE"/>
              <w:suppressAutoHyphens w:val="0"/>
              <w:rPr>
                <w:sz w:val="24"/>
                <w:szCs w:val="24"/>
              </w:rPr>
            </w:pPr>
          </w:p>
          <w:p w:rsidR="00107BA4" w:rsidRDefault="00107BA4">
            <w:pPr>
              <w:shd w:val="clear" w:color="auto" w:fill="FEFEFE"/>
              <w:suppressAutoHyphens w:val="0"/>
              <w:rPr>
                <w:sz w:val="24"/>
                <w:szCs w:val="24"/>
              </w:rPr>
            </w:pPr>
          </w:p>
          <w:p w:rsidR="00107BA4" w:rsidRDefault="00107BA4">
            <w:pPr>
              <w:shd w:val="clear" w:color="auto" w:fill="FEFEFE"/>
              <w:suppressAutoHyphens w:val="0"/>
              <w:rPr>
                <w:sz w:val="24"/>
                <w:szCs w:val="24"/>
              </w:rPr>
            </w:pPr>
          </w:p>
          <w:p w:rsidR="00107BA4" w:rsidRDefault="00107BA4">
            <w:pPr>
              <w:shd w:val="clear" w:color="auto" w:fill="FEFEFE"/>
              <w:suppressAutoHyphens w:val="0"/>
              <w:rPr>
                <w:sz w:val="24"/>
                <w:szCs w:val="24"/>
              </w:rPr>
            </w:pPr>
          </w:p>
          <w:p w:rsidR="00107BA4" w:rsidRDefault="00447285">
            <w:pPr>
              <w:shd w:val="clear" w:color="auto" w:fill="FEFEFE"/>
              <w:suppressAutoHyphens w:val="0"/>
            </w:pPr>
            <w:r>
              <w:rPr>
                <w:sz w:val="24"/>
                <w:szCs w:val="24"/>
              </w:rPr>
              <w:t xml:space="preserve">От началото на месеца, следващ месеца, през който е </w:t>
            </w:r>
            <w:r>
              <w:rPr>
                <w:sz w:val="24"/>
                <w:szCs w:val="24"/>
              </w:rPr>
              <w:t>възникнало основанието за получаването им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Директор, Комисия за стипендии</w:t>
            </w:r>
          </w:p>
        </w:tc>
      </w:tr>
      <w:tr w:rsidR="00107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shd w:val="clear" w:color="auto" w:fill="FEFEFE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Отпускане на еднократни стипендии (ПМС 328/21.12.2017 г., изм. и доп. с ПМС № 20/01.02.2019 г.):</w:t>
            </w:r>
          </w:p>
          <w:p w:rsidR="00107BA4" w:rsidRDefault="00447285">
            <w:pPr>
              <w:shd w:val="clear" w:color="auto" w:fill="FEFEFE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Чл. 5. (1) 1. преодоляване от ученика на еднократни социални обстоятелства, свърза</w:t>
            </w:r>
            <w:r>
              <w:rPr>
                <w:sz w:val="24"/>
                <w:szCs w:val="24"/>
              </w:rPr>
              <w:t>ни с достъпа му до образование;</w:t>
            </w:r>
          </w:p>
          <w:p w:rsidR="00107BA4" w:rsidRDefault="00447285">
            <w:pPr>
              <w:shd w:val="clear" w:color="auto" w:fill="FEFEFE"/>
              <w:suppressAutoHyphens w:val="0"/>
            </w:pPr>
            <w:r>
              <w:rPr>
                <w:sz w:val="24"/>
                <w:szCs w:val="24"/>
              </w:rPr>
              <w:t>Чл. 5. (1) 2. постигнати високи резултати от ученика в учебната, извънкласната или извънучилищната дейност.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Веднъж на всеки учебен срок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Директор, Комисия за стипендии</w:t>
            </w:r>
          </w:p>
        </w:tc>
      </w:tr>
      <w:tr w:rsidR="00107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Отпускане на месечна целева стипендия(ПМС</w:t>
            </w:r>
            <w:r>
              <w:rPr>
                <w:sz w:val="24"/>
                <w:szCs w:val="24"/>
              </w:rPr>
              <w:t>328/21.12.2017 г., изм. и доп. с ПМС № 20/01.02.2019 г.):</w:t>
            </w:r>
          </w:p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Чл. 6. (1) за покриване на конкретни разходи, свързани с обучението на ученика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Началото на учебната година и/или от началото на втория учебен срок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Директор, Комисия за стипендии</w:t>
            </w:r>
          </w:p>
        </w:tc>
      </w:tr>
      <w:tr w:rsidR="00107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ru-RU"/>
              </w:rPr>
              <w:t xml:space="preserve">опуляризиране </w:t>
            </w:r>
            <w:r>
              <w:rPr>
                <w:sz w:val="24"/>
                <w:szCs w:val="24"/>
                <w:lang w:val="ru-RU"/>
              </w:rPr>
              <w:t>на добри практики и възможности за участие в мрежи за включване на родителите и местната общност в мерки за пре</w:t>
            </w:r>
            <w:r>
              <w:rPr>
                <w:sz w:val="24"/>
                <w:szCs w:val="24"/>
              </w:rPr>
              <w:t>одоляване на проблемите на уязвимите групи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Минимум два пъти годишно-през октомври и март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Класни ръководители, възпитатели</w:t>
            </w:r>
          </w:p>
        </w:tc>
      </w:tr>
      <w:tr w:rsidR="00107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Функциониране на об</w:t>
            </w:r>
            <w:r>
              <w:rPr>
                <w:sz w:val="24"/>
                <w:szCs w:val="24"/>
              </w:rPr>
              <w:t>ществен съвет за в</w:t>
            </w:r>
            <w:r>
              <w:rPr>
                <w:sz w:val="24"/>
                <w:szCs w:val="24"/>
                <w:lang w:val="ru-RU"/>
              </w:rPr>
              <w:t>ключване в осъществяването на граждански контрол в управлението на образователн</w:t>
            </w:r>
            <w:r>
              <w:rPr>
                <w:sz w:val="24"/>
                <w:szCs w:val="24"/>
              </w:rPr>
              <w:t>ата институция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Съгласно Глава трета от Правилник за създаването, устройството и дейността на обществените съвети към детските градини и училищата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 xml:space="preserve"> Директор </w:t>
            </w:r>
          </w:p>
        </w:tc>
      </w:tr>
      <w:tr w:rsidR="00107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Семинари, кръгли маси, дискусии за п</w:t>
            </w:r>
            <w:r>
              <w:rPr>
                <w:sz w:val="24"/>
                <w:szCs w:val="24"/>
                <w:lang w:val="ru-RU"/>
              </w:rPr>
              <w:t>овишаване отговорността на родителите и тяхната активност за сътрудничество с учителите и училищното ръководство с цел развитието на децата им с фокус върху родители от уязвими групи за насърчаване на редовното посеща</w:t>
            </w:r>
            <w:r>
              <w:rPr>
                <w:sz w:val="24"/>
                <w:szCs w:val="24"/>
                <w:lang w:val="ru-RU"/>
              </w:rPr>
              <w:t>ване на училището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Минимум 4 пъти годишно по график на Обществения съвет и по време на общоучилищни и индивидуални родителски срещи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r>
              <w:rPr>
                <w:sz w:val="24"/>
                <w:szCs w:val="24"/>
              </w:rPr>
              <w:t>Обществен съвет, МО на класните ръководители и възпитателите</w:t>
            </w:r>
          </w:p>
        </w:tc>
      </w:tr>
      <w:tr w:rsidR="00107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Здравни беседи, психологическа подкрепа на подрастващите за</w:t>
            </w:r>
            <w:r>
              <w:rPr>
                <w:sz w:val="24"/>
                <w:szCs w:val="24"/>
              </w:rPr>
              <w:t xml:space="preserve"> по-лесно преодоляване на здравни и възрастови проблеми, превенция на ранните бракове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Съгласно план на класния ръководител и възпитателя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Класен ръководител, възпитател, медицинско лице към училището</w:t>
            </w:r>
          </w:p>
        </w:tc>
      </w:tr>
      <w:tr w:rsidR="00107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Спазване на училищните</w:t>
            </w:r>
            <w:r>
              <w:rPr>
                <w:sz w:val="24"/>
                <w:szCs w:val="24"/>
                <w:lang w:val="ru-RU"/>
              </w:rPr>
              <w:t xml:space="preserve"> политики за ненасилие и изграждане на </w:t>
            </w:r>
            <w:r>
              <w:rPr>
                <w:sz w:val="24"/>
                <w:szCs w:val="24"/>
              </w:rPr>
              <w:t>позитивна</w:t>
            </w:r>
            <w:r>
              <w:rPr>
                <w:sz w:val="24"/>
                <w:szCs w:val="24"/>
                <w:lang w:val="ru-RU"/>
              </w:rPr>
              <w:t xml:space="preserve"> училищна общност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През цялата учебна година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pStyle w:val="a6"/>
              <w:jc w:val="both"/>
            </w:pPr>
            <w:r>
              <w:rPr>
                <w:sz w:val="24"/>
                <w:szCs w:val="24"/>
                <w:lang w:val="ru-RU"/>
              </w:rPr>
              <w:t>Училищен координационен съвет за справяне с училищния тормоз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ученици, педагогически</w:t>
            </w:r>
            <w:r>
              <w:rPr>
                <w:sz w:val="24"/>
                <w:szCs w:val="24"/>
              </w:rPr>
              <w:t xml:space="preserve"> специалисти</w:t>
            </w:r>
            <w:r>
              <w:rPr>
                <w:sz w:val="24"/>
                <w:szCs w:val="24"/>
                <w:lang w:val="ru-RU"/>
              </w:rPr>
              <w:t xml:space="preserve"> и непедагогически персонал</w:t>
            </w:r>
          </w:p>
        </w:tc>
      </w:tr>
      <w:tr w:rsidR="00107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 xml:space="preserve">Осигуряване на учебни помагала и </w:t>
            </w:r>
            <w:r>
              <w:rPr>
                <w:sz w:val="24"/>
                <w:szCs w:val="24"/>
              </w:rPr>
              <w:t>материали, дрехи и обувки на социално слаби ученици, награди на ученици от възстановените на гимназията средства от спрени помощи за отглеждане на деца. Осигуряване на интернет  и таблети на социално слаби ученици(при необходимост). Осигуряване на учебници</w:t>
            </w:r>
            <w:r>
              <w:rPr>
                <w:sz w:val="24"/>
                <w:szCs w:val="24"/>
              </w:rPr>
              <w:t xml:space="preserve"> и учебни помагала и материали на учениците от гимназиален етап.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shd w:val="clear" w:color="auto" w:fill="FEFEFE"/>
              <w:suppressAutoHyphens w:val="0"/>
            </w:pPr>
            <w:r>
              <w:rPr>
                <w:sz w:val="24"/>
                <w:szCs w:val="24"/>
              </w:rPr>
              <w:t>В началото на учебната година и при идентифицирана нужда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Комисия за разпределяне на средствата от спрени помощи за отглеждане на деца</w:t>
            </w:r>
          </w:p>
        </w:tc>
      </w:tr>
      <w:tr w:rsidR="00107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lang w:val="ru-RU"/>
              </w:rPr>
              <w:t xml:space="preserve">азвиване на индивидуалното и груповото </w:t>
            </w:r>
            <w:r>
              <w:rPr>
                <w:sz w:val="24"/>
                <w:szCs w:val="24"/>
                <w:lang w:val="ru-RU"/>
              </w:rPr>
              <w:t>наставничество за оказване на помощ на ученици, родители и педагогически специалисти с цел преодоляване на трудности в образователен, социален или личен план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През цялата учебна година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pStyle w:val="a6"/>
              <w:jc w:val="both"/>
            </w:pPr>
            <w:r>
              <w:rPr>
                <w:sz w:val="24"/>
                <w:szCs w:val="24"/>
              </w:rPr>
              <w:t>Учители, възпитатели, ученически съвет</w:t>
            </w:r>
          </w:p>
        </w:tc>
      </w:tr>
      <w:tr w:rsidR="00107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 xml:space="preserve">Дейности на училищната </w:t>
            </w:r>
            <w:r>
              <w:rPr>
                <w:sz w:val="24"/>
                <w:szCs w:val="24"/>
              </w:rPr>
              <w:t>библиотека, свързани с четивна грамотност и</w:t>
            </w:r>
            <w:r>
              <w:rPr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библиотечно-информационно обслужване;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01.11 и 23.04 /Ден на народните будители и Денят на книгата/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pStyle w:val="a6"/>
              <w:jc w:val="both"/>
            </w:pPr>
            <w:r>
              <w:rPr>
                <w:sz w:val="24"/>
                <w:szCs w:val="24"/>
              </w:rPr>
              <w:t>отг. за библиотеката, учители БЕЛ</w:t>
            </w:r>
          </w:p>
        </w:tc>
      </w:tr>
      <w:tr w:rsidR="00107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сигуряване на ефективна комуникация за навременното идентифициране и </w:t>
            </w:r>
            <w:r>
              <w:rPr>
                <w:sz w:val="24"/>
                <w:szCs w:val="24"/>
                <w:lang w:val="ru-RU"/>
              </w:rPr>
              <w:t>разрешаване на възникнали проблеми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През цялата учебна година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pStyle w:val="a6"/>
              <w:jc w:val="both"/>
            </w:pPr>
            <w:r>
              <w:rPr>
                <w:sz w:val="24"/>
                <w:szCs w:val="24"/>
              </w:rPr>
              <w:t>педагогически съветник, учители, възпитатели, родители, ученици, обществен съвет</w:t>
            </w:r>
          </w:p>
        </w:tc>
      </w:tr>
      <w:tr w:rsidR="00107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Запознаване с празниците на различните етноси – организиране на празненства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 xml:space="preserve">По календарния план за ЧК и като </w:t>
            </w:r>
            <w:r>
              <w:rPr>
                <w:sz w:val="24"/>
                <w:szCs w:val="24"/>
              </w:rPr>
              <w:t>общоучилищни мероприятия по повод празниците: Байрям, Банго Васил, Коледа и др.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pStyle w:val="a6"/>
              <w:jc w:val="both"/>
            </w:pPr>
            <w:r>
              <w:rPr>
                <w:sz w:val="24"/>
                <w:szCs w:val="24"/>
              </w:rPr>
              <w:t>Класни ръководители, учители по БЕЛ и История и цивилизация</w:t>
            </w:r>
          </w:p>
        </w:tc>
      </w:tr>
      <w:tr w:rsidR="00107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lang w:val="ru-RU"/>
              </w:rPr>
              <w:t>абота по развитие на класа като екип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В час на класа и провеждане на спортни и др. мероприятия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pStyle w:val="a6"/>
              <w:jc w:val="both"/>
            </w:pPr>
            <w:r>
              <w:rPr>
                <w:sz w:val="24"/>
                <w:szCs w:val="24"/>
              </w:rPr>
              <w:t xml:space="preserve">Класни </w:t>
            </w:r>
            <w:r>
              <w:rPr>
                <w:sz w:val="24"/>
                <w:szCs w:val="24"/>
              </w:rPr>
              <w:t>ръководители</w:t>
            </w:r>
          </w:p>
        </w:tc>
      </w:tr>
      <w:tr w:rsidR="00107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Участие на ученици в общоучилищни празненства, конкурси, състезания, занимания по интереси, проекти, национални програми  и др. мероприятия – без ограничение на техния социален статус и етническа принадлежност.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ФУЧ” Фолклор на етносите”.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Взаимодействие с АМАЛИПЕ” Равен достъп до средното образование” – Всеки ученик ще бъде отличник”. Работа по проект   „ Подкрепа за успех”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По време на цялата учебна година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pStyle w:val="a6"/>
              <w:jc w:val="both"/>
            </w:pPr>
            <w:r>
              <w:rPr>
                <w:sz w:val="24"/>
                <w:szCs w:val="24"/>
              </w:rPr>
              <w:t>Отговорниците за конкретното мероприятие</w:t>
            </w:r>
          </w:p>
        </w:tc>
      </w:tr>
      <w:tr w:rsidR="00107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 xml:space="preserve">Прилагане на ефективни техники и </w:t>
            </w:r>
            <w:r>
              <w:rPr>
                <w:sz w:val="24"/>
                <w:szCs w:val="24"/>
              </w:rPr>
              <w:t>стратегии за работа в мултикултурна среда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постоянен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pStyle w:val="a6"/>
              <w:jc w:val="both"/>
            </w:pPr>
            <w:r>
              <w:rPr>
                <w:sz w:val="24"/>
                <w:szCs w:val="24"/>
              </w:rPr>
              <w:t>педагогически специалисти</w:t>
            </w:r>
          </w:p>
        </w:tc>
      </w:tr>
      <w:tr w:rsidR="00107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Организиране и функциониране на “Училище за родители“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Октомври – юни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pStyle w:val="a6"/>
              <w:jc w:val="both"/>
            </w:pPr>
            <w:r>
              <w:rPr>
                <w:sz w:val="24"/>
                <w:szCs w:val="24"/>
              </w:rPr>
              <w:t>Директор, екип учители</w:t>
            </w:r>
          </w:p>
        </w:tc>
      </w:tr>
      <w:tr w:rsidR="00107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r>
              <w:rPr>
                <w:sz w:val="24"/>
                <w:szCs w:val="24"/>
              </w:rPr>
              <w:t xml:space="preserve">Назначаване на образователен медиатор по трудов договор от средствата за </w:t>
            </w:r>
            <w:r>
              <w:rPr>
                <w:sz w:val="24"/>
                <w:szCs w:val="24"/>
              </w:rPr>
              <w:t>работа с уязвими групи в бюджета на училището.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shd w:val="clear" w:color="auto" w:fill="FEFEFE"/>
              <w:suppressAutoHyphens w:val="0"/>
            </w:pPr>
            <w:r>
              <w:rPr>
                <w:sz w:val="24"/>
                <w:szCs w:val="24"/>
              </w:rPr>
              <w:t>Преди началото на учебната година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107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r>
              <w:rPr>
                <w:sz w:val="24"/>
                <w:szCs w:val="24"/>
              </w:rPr>
              <w:t>Повишаване мотивацията на колектива на СУ „Св.Климент Охридски” чрез допълнителни възнаграждения за работа с уязвими групи съгласно ВПРЗ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shd w:val="clear" w:color="auto" w:fill="FEFEFE"/>
              <w:suppressAutoHyphens w:val="0"/>
            </w:pPr>
            <w:r>
              <w:rPr>
                <w:sz w:val="24"/>
                <w:szCs w:val="24"/>
              </w:rPr>
              <w:t>По график, определен във</w:t>
            </w:r>
            <w:r>
              <w:rPr>
                <w:sz w:val="24"/>
                <w:szCs w:val="24"/>
              </w:rPr>
              <w:t xml:space="preserve"> ВПРЗ и заповед на директора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107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107BA4"/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107BA4"/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107BA4"/>
        </w:tc>
      </w:tr>
      <w:tr w:rsidR="00107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r>
              <w:rPr>
                <w:sz w:val="24"/>
                <w:szCs w:val="24"/>
              </w:rPr>
              <w:t>Екипна работа на учителите от един клас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shd w:val="clear" w:color="auto" w:fill="FEFEFE"/>
              <w:suppressAutoHyphens w:val="0"/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преподаватели, класен ръководител</w:t>
            </w:r>
          </w:p>
        </w:tc>
      </w:tr>
      <w:tr w:rsidR="00107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r>
              <w:rPr>
                <w:sz w:val="24"/>
                <w:szCs w:val="24"/>
              </w:rPr>
              <w:t xml:space="preserve">Анализ на възникналите проблеми или затруднения в работата с ученици от уязвимите групи и сформиране на </w:t>
            </w:r>
            <w:r>
              <w:rPr>
                <w:sz w:val="24"/>
                <w:szCs w:val="24"/>
              </w:rPr>
              <w:t>работни екипи за подкрепа на децата в риск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shd w:val="clear" w:color="auto" w:fill="FEFEFE"/>
              <w:suppressAutoHyphens w:val="0"/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екип за работа с деца в риск</w:t>
            </w:r>
          </w:p>
        </w:tc>
      </w:tr>
      <w:tr w:rsidR="00107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r>
              <w:rPr>
                <w:sz w:val="24"/>
                <w:szCs w:val="24"/>
              </w:rPr>
              <w:t>Съвместна работа с представителите на ЦОП- гр. Симеоновград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shd w:val="clear" w:color="auto" w:fill="FEFEFE"/>
              <w:suppressAutoHyphens w:val="0"/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класен ръководител, преподаватели</w:t>
            </w:r>
          </w:p>
        </w:tc>
      </w:tr>
      <w:tr w:rsidR="00107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r>
              <w:rPr>
                <w:sz w:val="24"/>
                <w:szCs w:val="24"/>
              </w:rPr>
              <w:t xml:space="preserve">Провеждане на тематични педагогически </w:t>
            </w:r>
            <w:r>
              <w:rPr>
                <w:sz w:val="24"/>
                <w:szCs w:val="24"/>
              </w:rPr>
              <w:t>съвети, свързани с приобщаването на ученици от уязвимите групи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shd w:val="clear" w:color="auto" w:fill="FEFEFE"/>
              <w:suppressAutoHyphens w:val="0"/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A4" w:rsidRDefault="00447285">
            <w:pPr>
              <w:jc w:val="both"/>
            </w:pPr>
            <w:r>
              <w:rPr>
                <w:sz w:val="24"/>
                <w:szCs w:val="24"/>
              </w:rPr>
              <w:t>директор</w:t>
            </w:r>
          </w:p>
        </w:tc>
      </w:tr>
    </w:tbl>
    <w:p w:rsidR="00107BA4" w:rsidRDefault="00107BA4">
      <w:pPr>
        <w:widowControl w:val="0"/>
        <w:jc w:val="center"/>
        <w:rPr>
          <w:b/>
          <w:bCs/>
          <w:sz w:val="24"/>
          <w:szCs w:val="24"/>
        </w:rPr>
      </w:pPr>
    </w:p>
    <w:p w:rsidR="00107BA4" w:rsidRDefault="0044728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</w:p>
    <w:p w:rsidR="00107BA4" w:rsidRDefault="00447285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Контролът по изпълнение на училищната програма се осъществява от директора.</w:t>
      </w:r>
    </w:p>
    <w:p w:rsidR="00107BA4" w:rsidRDefault="00447285">
      <w:pPr>
        <w:rPr>
          <w:sz w:val="24"/>
          <w:szCs w:val="24"/>
        </w:rPr>
      </w:pPr>
      <w:r>
        <w:rPr>
          <w:sz w:val="24"/>
          <w:szCs w:val="24"/>
        </w:rPr>
        <w:t xml:space="preserve">Настоящата програма е създадена на основание чл. 263, ал. 1, т. 9 от </w:t>
      </w:r>
      <w:r>
        <w:rPr>
          <w:sz w:val="24"/>
          <w:szCs w:val="24"/>
        </w:rPr>
        <w:t xml:space="preserve">Закона за предучилищното и училищното образование, приета е с Решение на Педагогическия съвет – Протокол № </w:t>
      </w:r>
      <w:r w:rsidR="00BA7E4E">
        <w:rPr>
          <w:sz w:val="24"/>
          <w:szCs w:val="24"/>
        </w:rPr>
        <w:t>1</w:t>
      </w:r>
      <w:r>
        <w:rPr>
          <w:sz w:val="24"/>
          <w:szCs w:val="24"/>
        </w:rPr>
        <w:t xml:space="preserve"> от 18.09.2023 г. и е утвърдена със заповед на директора №</w:t>
      </w:r>
      <w:r w:rsidR="00BA7E4E">
        <w:rPr>
          <w:sz w:val="24"/>
          <w:szCs w:val="24"/>
          <w:lang w:val="bg-BG"/>
        </w:rPr>
        <w:t>РД- 33/19.09.2023</w:t>
      </w:r>
      <w:r>
        <w:rPr>
          <w:sz w:val="24"/>
          <w:szCs w:val="24"/>
        </w:rPr>
        <w:t xml:space="preserve"> г.</w:t>
      </w:r>
    </w:p>
    <w:p w:rsidR="00107BA4" w:rsidRDefault="00107BA4">
      <w:pPr>
        <w:jc w:val="both"/>
        <w:rPr>
          <w:sz w:val="24"/>
          <w:szCs w:val="24"/>
        </w:rPr>
      </w:pPr>
    </w:p>
    <w:p w:rsidR="00107BA4" w:rsidRDefault="00447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107BA4" w:rsidRDefault="00107BA4">
      <w:pPr>
        <w:ind w:left="4956" w:firstLine="708"/>
        <w:jc w:val="both"/>
        <w:rPr>
          <w:b/>
          <w:bCs/>
          <w:sz w:val="24"/>
          <w:szCs w:val="24"/>
        </w:rPr>
      </w:pPr>
    </w:p>
    <w:p w:rsidR="00107BA4" w:rsidRDefault="00447285">
      <w:pPr>
        <w:ind w:left="708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Комисия: Милена Стоева………………...</w:t>
      </w:r>
    </w:p>
    <w:p w:rsidR="00107BA4" w:rsidRDefault="00447285">
      <w:pPr>
        <w:ind w:left="708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Георги Христозов……………..</w:t>
      </w:r>
    </w:p>
    <w:p w:rsidR="00107BA4" w:rsidRDefault="00447285">
      <w:pPr>
        <w:ind w:left="708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Антоанета Симеонова…………</w:t>
      </w:r>
    </w:p>
    <w:p w:rsidR="00107BA4" w:rsidRDefault="00447285">
      <w:pPr>
        <w:ind w:left="708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Павлина Петрова……………...</w:t>
      </w:r>
    </w:p>
    <w:p w:rsidR="00107BA4" w:rsidRDefault="00447285">
      <w:pPr>
        <w:ind w:left="708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Яна Димитрова………………..</w:t>
      </w:r>
    </w:p>
    <w:p w:rsidR="00107BA4" w:rsidRDefault="00447285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107BA4" w:rsidRDefault="00447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107BA4" w:rsidRDefault="00107BA4"/>
    <w:sectPr w:rsidR="00107BA4" w:rsidSect="00107BA4">
      <w:headerReference w:type="default" r:id="rId8"/>
      <w:footerReference w:type="default" r:id="rId9"/>
      <w:pgSz w:w="12240" w:h="15840"/>
      <w:pgMar w:top="568" w:right="96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285" w:rsidRDefault="00447285" w:rsidP="00107BA4">
      <w:r>
        <w:separator/>
      </w:r>
    </w:p>
  </w:endnote>
  <w:endnote w:type="continuationSeparator" w:id="0">
    <w:p w:rsidR="00447285" w:rsidRDefault="00447285" w:rsidP="00107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BA4" w:rsidRDefault="00107BA4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285" w:rsidRDefault="00447285" w:rsidP="00107BA4">
      <w:r>
        <w:separator/>
      </w:r>
    </w:p>
  </w:footnote>
  <w:footnote w:type="continuationSeparator" w:id="0">
    <w:p w:rsidR="00447285" w:rsidRDefault="00447285" w:rsidP="00107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BA4" w:rsidRDefault="00107BA4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755F"/>
    <w:multiLevelType w:val="hybridMultilevel"/>
    <w:tmpl w:val="10D4182A"/>
    <w:numStyleLink w:val="ImportedStyle1"/>
  </w:abstractNum>
  <w:abstractNum w:abstractNumId="1">
    <w:nsid w:val="1FF06CF0"/>
    <w:multiLevelType w:val="hybridMultilevel"/>
    <w:tmpl w:val="EF6EEF2A"/>
    <w:styleLink w:val="ImportedStyle2"/>
    <w:lvl w:ilvl="0" w:tplc="C61A6E3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5A21C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2006C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A6228C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30CDE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0C97D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836CE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C8C2F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C67C5C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035244D"/>
    <w:multiLevelType w:val="hybridMultilevel"/>
    <w:tmpl w:val="AFDE666E"/>
    <w:numStyleLink w:val="ImportedStyle3"/>
  </w:abstractNum>
  <w:abstractNum w:abstractNumId="3">
    <w:nsid w:val="3DC91630"/>
    <w:multiLevelType w:val="hybridMultilevel"/>
    <w:tmpl w:val="B1744C9E"/>
    <w:styleLink w:val="ImportedStyle4"/>
    <w:lvl w:ilvl="0" w:tplc="9EE8AFE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961E0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68DB0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C8C4A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1C1D9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DC19D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7044E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42294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F23ED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01E6DCB"/>
    <w:multiLevelType w:val="hybridMultilevel"/>
    <w:tmpl w:val="AFDE666E"/>
    <w:styleLink w:val="ImportedStyle3"/>
    <w:lvl w:ilvl="0" w:tplc="ED4891E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6E4A72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D0278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404C9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6416C8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207CA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8635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B0E69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84416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64949C0"/>
    <w:multiLevelType w:val="hybridMultilevel"/>
    <w:tmpl w:val="10D4182A"/>
    <w:styleLink w:val="ImportedStyle1"/>
    <w:lvl w:ilvl="0" w:tplc="53122DD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68A61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182A6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A6930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E46EB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70C11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0CA07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862D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A279B0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AC22B65"/>
    <w:multiLevelType w:val="hybridMultilevel"/>
    <w:tmpl w:val="B1744C9E"/>
    <w:numStyleLink w:val="ImportedStyle4"/>
  </w:abstractNum>
  <w:abstractNum w:abstractNumId="7">
    <w:nsid w:val="7BC91C02"/>
    <w:multiLevelType w:val="hybridMultilevel"/>
    <w:tmpl w:val="EF6EEF2A"/>
    <w:numStyleLink w:val="ImportedStyle2"/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0"/>
    <w:lvlOverride w:ilvl="0">
      <w:startOverride w:val="2"/>
    </w:lvlOverride>
  </w:num>
  <w:num w:numId="6">
    <w:abstractNumId w:val="4"/>
  </w:num>
  <w:num w:numId="7">
    <w:abstractNumId w:val="2"/>
  </w:num>
  <w:num w:numId="8">
    <w:abstractNumId w:val="0"/>
    <w:lvlOverride w:ilvl="0">
      <w:startOverride w:val="3"/>
    </w:lvlOverride>
  </w:num>
  <w:num w:numId="9">
    <w:abstractNumId w:val="0"/>
    <w:lvlOverride w:ilvl="0">
      <w:startOverride w:val="4"/>
    </w:lvlOverride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7BA4"/>
    <w:rsid w:val="00107BA4"/>
    <w:rsid w:val="00447285"/>
    <w:rsid w:val="00BA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BA4"/>
    <w:pPr>
      <w:suppressAutoHyphens/>
    </w:pPr>
    <w:rPr>
      <w:rFonts w:cs="Arial Unicode MS"/>
      <w:color w:val="000000"/>
      <w:u w:color="000000"/>
      <w:shd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7BA4"/>
    <w:rPr>
      <w:u w:val="single"/>
    </w:rPr>
  </w:style>
  <w:style w:type="table" w:customStyle="1" w:styleId="TableNormal">
    <w:name w:val="Table Normal"/>
    <w:rsid w:val="00107B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107BA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4">
    <w:name w:val="Title"/>
    <w:rsid w:val="00107BA4"/>
    <w:pPr>
      <w:suppressAutoHyphens/>
      <w:jc w:val="center"/>
    </w:pPr>
    <w:rPr>
      <w:rFonts w:cs="Arial Unicode MS"/>
      <w:b/>
      <w:bCs/>
      <w:color w:val="000000"/>
      <w:sz w:val="32"/>
      <w:szCs w:val="32"/>
      <w:u w:color="000000"/>
      <w:shd w:val="nil"/>
    </w:rPr>
  </w:style>
  <w:style w:type="numbering" w:customStyle="1" w:styleId="ImportedStyle1">
    <w:name w:val="Imported Style 1"/>
    <w:rsid w:val="00107BA4"/>
    <w:pPr>
      <w:numPr>
        <w:numId w:val="1"/>
      </w:numPr>
    </w:pPr>
  </w:style>
  <w:style w:type="numbering" w:customStyle="1" w:styleId="ImportedStyle2">
    <w:name w:val="Imported Style 2"/>
    <w:rsid w:val="00107BA4"/>
    <w:pPr>
      <w:numPr>
        <w:numId w:val="3"/>
      </w:numPr>
    </w:pPr>
  </w:style>
  <w:style w:type="numbering" w:customStyle="1" w:styleId="ImportedStyle3">
    <w:name w:val="Imported Style 3"/>
    <w:rsid w:val="00107BA4"/>
    <w:pPr>
      <w:numPr>
        <w:numId w:val="6"/>
      </w:numPr>
    </w:pPr>
  </w:style>
  <w:style w:type="paragraph" w:styleId="a5">
    <w:name w:val="List Paragraph"/>
    <w:rsid w:val="00107BA4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shd w:val="nil"/>
    </w:rPr>
  </w:style>
  <w:style w:type="numbering" w:customStyle="1" w:styleId="ImportedStyle4">
    <w:name w:val="Imported Style 4"/>
    <w:rsid w:val="00107BA4"/>
    <w:pPr>
      <w:numPr>
        <w:numId w:val="10"/>
      </w:numPr>
    </w:pPr>
  </w:style>
  <w:style w:type="paragraph" w:styleId="a6">
    <w:name w:val="Body Text"/>
    <w:rsid w:val="00107BA4"/>
    <w:pPr>
      <w:suppressAutoHyphens/>
      <w:spacing w:after="120"/>
    </w:pPr>
    <w:rPr>
      <w:rFonts w:cs="Arial Unicode MS"/>
      <w:color w:val="000000"/>
      <w:u w:color="000000"/>
      <w:shd w:val="nil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A7E4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A7E4E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2165</Words>
  <Characters>12342</Characters>
  <Application>Microsoft Office Word</Application>
  <DocSecurity>0</DocSecurity>
  <Lines>102</Lines>
  <Paragraphs>28</Paragraphs>
  <ScaleCrop>false</ScaleCrop>
  <Company/>
  <LinksUpToDate>false</LinksUpToDate>
  <CharactersWithSpaces>14479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</cp:revision>
  <dcterms:created xsi:type="dcterms:W3CDTF">2023-10-03T12:56:00Z</dcterms:created>
  <dcterms:modified xsi:type="dcterms:W3CDTF">2023-10-03T13:00:00Z</dcterms:modified>
</cp:coreProperties>
</file>